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6B2E48">
        <w:rPr>
          <w:rFonts w:ascii="Arial" w:eastAsia="Arial Unicode MS" w:hAnsi="Arial"/>
          <w:b/>
          <w:bCs/>
          <w:kern w:val="0"/>
          <w:sz w:val="28"/>
          <w:szCs w:val="28"/>
        </w:rPr>
        <w:t>9</w:t>
      </w:r>
      <w:r w:rsidR="004C55F8">
        <w:rPr>
          <w:rFonts w:ascii="Arial" w:eastAsia="Arial Unicode MS" w:hAnsi="Arial"/>
          <w:b/>
          <w:bCs/>
          <w:kern w:val="0"/>
          <w:sz w:val="28"/>
          <w:szCs w:val="28"/>
        </w:rPr>
        <w:t>bis-</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B116B9" w:rsidRPr="00B116B9">
        <w:rPr>
          <w:rFonts w:ascii="Arial" w:eastAsia="Arial Unicode MS" w:hAnsi="Arial"/>
          <w:b/>
          <w:bCs/>
          <w:kern w:val="0"/>
          <w:sz w:val="28"/>
          <w:szCs w:val="28"/>
          <w:lang w:eastAsia="en-US"/>
        </w:rPr>
        <w:t>R2-2210401</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6B2E48">
        <w:rPr>
          <w:rFonts w:ascii="Arial" w:eastAsia="Arial Unicode MS" w:hAnsi="Arial"/>
          <w:b/>
          <w:bCs/>
          <w:kern w:val="0"/>
          <w:sz w:val="24"/>
          <w:szCs w:val="20"/>
        </w:rPr>
        <w:t>1</w:t>
      </w:r>
      <w:r w:rsidR="004C55F8">
        <w:rPr>
          <w:rFonts w:ascii="Arial" w:eastAsia="Arial Unicode MS" w:hAnsi="Arial"/>
          <w:b/>
          <w:bCs/>
          <w:kern w:val="0"/>
          <w:sz w:val="24"/>
          <w:szCs w:val="20"/>
        </w:rPr>
        <w:t>0</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19</w:t>
      </w:r>
      <w:r w:rsidR="00EB0333">
        <w:rPr>
          <w:rFonts w:ascii="Arial" w:eastAsia="Arial Unicode MS" w:hAnsi="Arial"/>
          <w:b/>
          <w:bCs/>
          <w:kern w:val="0"/>
          <w:sz w:val="24"/>
          <w:szCs w:val="20"/>
        </w:rPr>
        <w:t xml:space="preserve"> </w:t>
      </w:r>
      <w:r w:rsidR="004C55F8">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34259" w:rsidRPr="00034259">
        <w:rPr>
          <w:rFonts w:ascii="Arial" w:eastAsia="Arial Unicode MS" w:hAnsi="Arial" w:cs="Arial"/>
          <w:b/>
          <w:bCs/>
          <w:kern w:val="0"/>
          <w:sz w:val="24"/>
          <w:szCs w:val="20"/>
        </w:rPr>
        <w:t>8.4.3</w:t>
      </w:r>
      <w:r w:rsidR="00034259" w:rsidRPr="00034259">
        <w:rPr>
          <w:rFonts w:ascii="Arial" w:eastAsia="Arial Unicode MS" w:hAnsi="Arial" w:cs="Arial"/>
          <w:b/>
          <w:bCs/>
          <w:kern w:val="0"/>
          <w:sz w:val="24"/>
          <w:szCs w:val="20"/>
        </w:rPr>
        <w:tab/>
        <w:t>NR-DC with selective activation cell of groups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B0B31">
        <w:rPr>
          <w:rFonts w:ascii="Arial" w:eastAsia="Arial Unicode MS" w:hAnsi="Arial" w:cs="Arial"/>
          <w:b/>
          <w:bCs/>
          <w:kern w:val="0"/>
          <w:sz w:val="24"/>
          <w:szCs w:val="20"/>
        </w:rPr>
        <w:t>Consideration on</w:t>
      </w:r>
      <w:r w:rsidR="00907818" w:rsidRPr="00907818">
        <w:rPr>
          <w:rFonts w:ascii="Arial" w:eastAsia="Arial Unicode MS" w:hAnsi="Arial" w:cs="Arial"/>
          <w:b/>
          <w:bCs/>
          <w:kern w:val="0"/>
          <w:sz w:val="24"/>
          <w:szCs w:val="20"/>
        </w:rPr>
        <w:t xml:space="preserve"> selective SCG activation</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654AD3" w:rsidRPr="00247885" w:rsidRDefault="003E16F6" w:rsidP="00247885">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247885" w:rsidP="003E16F6">
      <w:pPr>
        <w:widowControl/>
        <w:rPr>
          <w:rFonts w:ascii="Arial" w:eastAsia="Arial Unicode MS" w:hAnsi="Arial"/>
          <w:kern w:val="0"/>
          <w:sz w:val="20"/>
          <w:szCs w:val="20"/>
        </w:rPr>
      </w:pPr>
      <w:r>
        <w:rPr>
          <w:rFonts w:ascii="Arial" w:eastAsia="Arial Unicode MS" w:hAnsi="Arial"/>
          <w:kern w:val="0"/>
          <w:sz w:val="20"/>
          <w:szCs w:val="20"/>
        </w:rPr>
        <w:t>I</w:t>
      </w:r>
      <w:r w:rsidR="00654AD3">
        <w:rPr>
          <w:rFonts w:ascii="Arial" w:eastAsia="Arial Unicode MS" w:hAnsi="Arial"/>
          <w:kern w:val="0"/>
          <w:sz w:val="20"/>
          <w:szCs w:val="20"/>
        </w:rPr>
        <w:t>n RAN2#119e, there were some baseline agree</w:t>
      </w:r>
      <w:r>
        <w:rPr>
          <w:rFonts w:ascii="Arial" w:eastAsia="Arial Unicode MS" w:hAnsi="Arial"/>
          <w:kern w:val="0"/>
          <w:sz w:val="20"/>
          <w:szCs w:val="20"/>
        </w:rPr>
        <w:t>ments for the NR-DC with selective activation of CGs [1</w:t>
      </w:r>
      <w:r w:rsidR="00654AD3">
        <w:rPr>
          <w:rFonts w:ascii="Arial" w:eastAsia="Arial Unicode MS" w:hAnsi="Arial"/>
          <w:kern w:val="0"/>
          <w:sz w:val="20"/>
          <w:szCs w:val="20"/>
        </w:rPr>
        <w:t>]</w:t>
      </w:r>
      <w:r>
        <w:rPr>
          <w:rFonts w:ascii="Arial" w:eastAsia="Arial Unicode MS" w:hAnsi="Arial"/>
          <w:kern w:val="0"/>
          <w:sz w:val="20"/>
          <w:szCs w:val="20"/>
        </w:rPr>
        <w:t>[2]</w:t>
      </w:r>
      <w:r w:rsidR="00654AD3">
        <w:rPr>
          <w:rFonts w:ascii="Arial" w:eastAsia="Arial Unicode MS" w:hAnsi="Arial"/>
          <w:kern w:val="0"/>
          <w:sz w:val="20"/>
          <w:szCs w:val="20"/>
        </w:rPr>
        <w:t>.</w:t>
      </w:r>
    </w:p>
    <w:tbl>
      <w:tblPr>
        <w:tblStyle w:val="a9"/>
        <w:tblW w:w="0" w:type="auto"/>
        <w:tblLook w:val="04A0" w:firstRow="1" w:lastRow="0" w:firstColumn="1" w:lastColumn="0" w:noHBand="0" w:noVBand="1"/>
      </w:tblPr>
      <w:tblGrid>
        <w:gridCol w:w="9629"/>
      </w:tblGrid>
      <w:tr w:rsidR="00247885" w:rsidTr="00247885">
        <w:tc>
          <w:tcPr>
            <w:tcW w:w="9629" w:type="dxa"/>
          </w:tcPr>
          <w:p w:rsidR="00247885" w:rsidRPr="00247885" w:rsidRDefault="00247885" w:rsidP="00247885">
            <w:pPr>
              <w:pStyle w:val="Agreement"/>
              <w:rPr>
                <w:lang w:val="en-US"/>
              </w:rPr>
            </w:pPr>
            <w:r w:rsidRPr="00247885">
              <w:t xml:space="preserve">The selective activation of cell groups should correspond to support of subsequent conditional changes (CPC) after a cell group change (normal or conditional). CPA FFS. </w:t>
            </w:r>
          </w:p>
          <w:p w:rsidR="00247885" w:rsidRPr="00247885" w:rsidRDefault="00247885" w:rsidP="00247885">
            <w:pPr>
              <w:pStyle w:val="Agreement"/>
              <w:rPr>
                <w:lang w:val="en-US"/>
              </w:rPr>
            </w:pPr>
            <w:r w:rsidRPr="00247885">
              <w:rPr>
                <w:lang w:val="en-US"/>
              </w:rPr>
              <w:t>Initial focus on SCG</w:t>
            </w:r>
          </w:p>
          <w:p w:rsidR="00247885" w:rsidRPr="00247885" w:rsidRDefault="00247885" w:rsidP="00247885">
            <w:pPr>
              <w:pStyle w:val="Agreement"/>
            </w:pPr>
            <w:r w:rsidRPr="00247885">
              <w:t>There is interest to support delta configuration, to reduce the signalling overhead (FFS if some other objective should be achieved)</w:t>
            </w:r>
          </w:p>
          <w:p w:rsidR="00247885" w:rsidRPr="00A50FE9" w:rsidRDefault="00247885" w:rsidP="00A50FE9">
            <w:pPr>
              <w:pStyle w:val="Agreement"/>
              <w:rPr>
                <w:lang w:val="en-US"/>
              </w:rPr>
            </w:pPr>
            <w:r w:rsidRPr="00247885">
              <w:rPr>
                <w:lang w:val="en-US"/>
              </w:rPr>
              <w:t xml:space="preserve">FFS how many subsequent conditional changes are targeted (and what is the impact of such assumption). </w:t>
            </w:r>
          </w:p>
        </w:tc>
      </w:tr>
    </w:tbl>
    <w:p w:rsidR="003E16F6" w:rsidRDefault="003E16F6" w:rsidP="003E16F6">
      <w:pPr>
        <w:widowControl/>
        <w:rPr>
          <w:rFonts w:ascii="Arial" w:eastAsia="Arial Unicode MS" w:hAnsi="Arial"/>
          <w:kern w:val="0"/>
          <w:sz w:val="20"/>
          <w:szCs w:val="20"/>
        </w:rPr>
      </w:pPr>
    </w:p>
    <w:p w:rsidR="00247885" w:rsidRPr="002C6C08" w:rsidRDefault="00247885" w:rsidP="003E16F6">
      <w:pPr>
        <w:widowControl/>
        <w:rPr>
          <w:rFonts w:ascii="Arial" w:eastAsia="Arial Unicode MS" w:hAnsi="Arial"/>
          <w:kern w:val="0"/>
          <w:sz w:val="20"/>
          <w:szCs w:val="20"/>
        </w:rPr>
      </w:pPr>
      <w:r>
        <w:rPr>
          <w:rFonts w:ascii="Arial" w:eastAsia="Arial Unicode MS" w:hAnsi="Arial" w:hint="eastAsia"/>
          <w:kern w:val="0"/>
          <w:sz w:val="20"/>
          <w:szCs w:val="20"/>
        </w:rPr>
        <w:t>I</w:t>
      </w:r>
      <w:r w:rsidR="00CD5A88">
        <w:rPr>
          <w:rFonts w:ascii="Arial" w:eastAsia="Arial Unicode MS" w:hAnsi="Arial"/>
          <w:kern w:val="0"/>
          <w:sz w:val="20"/>
          <w:szCs w:val="20"/>
        </w:rPr>
        <w:t>n this contribution, we discuss overview of selective SCG activation and possible signalling</w:t>
      </w:r>
      <w:r w:rsidR="009C715E">
        <w:rPr>
          <w:rFonts w:ascii="Arial" w:eastAsia="Arial Unicode MS" w:hAnsi="Arial"/>
          <w:kern w:val="0"/>
          <w:sz w:val="20"/>
          <w:szCs w:val="20"/>
        </w:rPr>
        <w:t xml:space="preserve"> and configurations</w:t>
      </w:r>
      <w:r w:rsidR="00CD5A88">
        <w:rPr>
          <w:rFonts w:ascii="Arial" w:eastAsia="Arial Unicode MS" w:hAnsi="Arial"/>
          <w:kern w:val="0"/>
          <w:sz w:val="20"/>
          <w:szCs w:val="20"/>
        </w:rPr>
        <w:t>.</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B45CAD">
        <w:rPr>
          <w:rFonts w:ascii="Arial" w:hAnsi="Arial"/>
          <w:kern w:val="0"/>
          <w:sz w:val="28"/>
          <w:szCs w:val="20"/>
        </w:rPr>
        <w:t>Overview of s</w:t>
      </w:r>
      <w:r w:rsidR="009B3B44">
        <w:rPr>
          <w:rFonts w:ascii="Arial" w:hAnsi="Arial"/>
          <w:kern w:val="0"/>
          <w:sz w:val="28"/>
          <w:szCs w:val="20"/>
        </w:rPr>
        <w:t>elective SCG activation</w:t>
      </w:r>
    </w:p>
    <w:p w:rsidR="003E16F6" w:rsidRPr="002C6C08" w:rsidRDefault="00B45CAD" w:rsidP="003E16F6">
      <w:pPr>
        <w:widowControl/>
        <w:spacing w:after="120" w:line="240" w:lineRule="atLeast"/>
        <w:rPr>
          <w:rFonts w:ascii="Arial" w:hAnsi="Arial"/>
          <w:kern w:val="0"/>
          <w:sz w:val="20"/>
          <w:szCs w:val="20"/>
        </w:rPr>
      </w:pPr>
      <w:r>
        <w:rPr>
          <w:rFonts w:ascii="Arial" w:hAnsi="Arial"/>
          <w:kern w:val="0"/>
          <w:sz w:val="20"/>
          <w:szCs w:val="20"/>
        </w:rPr>
        <w:t>Based on the agreement</w:t>
      </w:r>
      <w:r w:rsidR="009B3B44">
        <w:rPr>
          <w:rFonts w:ascii="Arial" w:hAnsi="Arial"/>
          <w:kern w:val="0"/>
          <w:sz w:val="20"/>
          <w:szCs w:val="20"/>
        </w:rPr>
        <w:t xml:space="preserve"> in the last meeting, we focus on the selective SCG activation. Note that same or similar discussions may be applicable to the selective MCG activation but that should be discussed later (in future meeting).</w:t>
      </w:r>
    </w:p>
    <w:p w:rsidR="00654AD3" w:rsidRDefault="00B45CAD" w:rsidP="00654AD3">
      <w:pPr>
        <w:widowControl/>
        <w:spacing w:after="120" w:line="240" w:lineRule="atLeast"/>
        <w:rPr>
          <w:rFonts w:ascii="Arial" w:hAnsi="Arial"/>
          <w:kern w:val="0"/>
          <w:sz w:val="20"/>
          <w:szCs w:val="20"/>
        </w:rPr>
      </w:pPr>
      <w:r>
        <w:rPr>
          <w:rFonts w:ascii="Arial" w:hAnsi="Arial"/>
          <w:kern w:val="0"/>
          <w:sz w:val="20"/>
          <w:szCs w:val="20"/>
        </w:rPr>
        <w:t xml:space="preserve">As agreed, the </w:t>
      </w:r>
      <w:r w:rsidRPr="00B45CAD">
        <w:rPr>
          <w:rFonts w:ascii="Arial" w:hAnsi="Arial"/>
          <w:kern w:val="0"/>
          <w:sz w:val="20"/>
          <w:szCs w:val="20"/>
        </w:rPr>
        <w:t xml:space="preserve">selective </w:t>
      </w:r>
      <w:r>
        <w:rPr>
          <w:rFonts w:ascii="Arial" w:hAnsi="Arial"/>
          <w:kern w:val="0"/>
          <w:sz w:val="20"/>
          <w:szCs w:val="20"/>
        </w:rPr>
        <w:t xml:space="preserve">SCG </w:t>
      </w:r>
      <w:r w:rsidRPr="00B45CAD">
        <w:rPr>
          <w:rFonts w:ascii="Arial" w:hAnsi="Arial"/>
          <w:kern w:val="0"/>
          <w:sz w:val="20"/>
          <w:szCs w:val="20"/>
        </w:rPr>
        <w:t xml:space="preserve">activation </w:t>
      </w:r>
      <w:r>
        <w:rPr>
          <w:rFonts w:ascii="Arial" w:hAnsi="Arial"/>
          <w:kern w:val="0"/>
          <w:sz w:val="20"/>
          <w:szCs w:val="20"/>
        </w:rPr>
        <w:t xml:space="preserve">would mean to </w:t>
      </w:r>
      <w:r w:rsidRPr="00B45CAD">
        <w:rPr>
          <w:rFonts w:ascii="Arial" w:hAnsi="Arial"/>
          <w:kern w:val="0"/>
          <w:sz w:val="20"/>
          <w:szCs w:val="20"/>
        </w:rPr>
        <w:t xml:space="preserve">support of subsequent </w:t>
      </w:r>
      <w:r>
        <w:rPr>
          <w:rFonts w:ascii="Arial" w:hAnsi="Arial"/>
          <w:kern w:val="0"/>
          <w:sz w:val="20"/>
          <w:szCs w:val="20"/>
        </w:rPr>
        <w:t xml:space="preserve">CPC </w:t>
      </w:r>
      <w:r w:rsidRPr="00B45CAD">
        <w:rPr>
          <w:rFonts w:ascii="Arial" w:hAnsi="Arial"/>
          <w:kern w:val="0"/>
          <w:sz w:val="20"/>
          <w:szCs w:val="20"/>
        </w:rPr>
        <w:t xml:space="preserve">after </w:t>
      </w:r>
      <w:r w:rsidR="001E77F7">
        <w:rPr>
          <w:rFonts w:ascii="Arial" w:hAnsi="Arial"/>
          <w:kern w:val="0"/>
          <w:sz w:val="20"/>
          <w:szCs w:val="20"/>
        </w:rPr>
        <w:t xml:space="preserve">the CPC or </w:t>
      </w:r>
      <w:r w:rsidRPr="00B45CAD">
        <w:rPr>
          <w:rFonts w:ascii="Arial" w:hAnsi="Arial"/>
          <w:kern w:val="0"/>
          <w:sz w:val="20"/>
          <w:szCs w:val="20"/>
        </w:rPr>
        <w:t xml:space="preserve">a </w:t>
      </w:r>
      <w:r>
        <w:rPr>
          <w:rFonts w:ascii="Arial" w:hAnsi="Arial"/>
          <w:kern w:val="0"/>
          <w:sz w:val="20"/>
          <w:szCs w:val="20"/>
        </w:rPr>
        <w:t>normal SCG change (only if subsequent CPC has been already configured)</w:t>
      </w:r>
      <w:r w:rsidRPr="00B45CAD">
        <w:rPr>
          <w:rFonts w:ascii="Arial" w:hAnsi="Arial"/>
          <w:kern w:val="0"/>
          <w:sz w:val="20"/>
          <w:szCs w:val="20"/>
        </w:rPr>
        <w:t>.</w:t>
      </w:r>
      <w:r w:rsidR="001E77F7">
        <w:rPr>
          <w:rFonts w:ascii="Arial" w:hAnsi="Arial" w:hint="eastAsia"/>
          <w:kern w:val="0"/>
          <w:sz w:val="20"/>
          <w:szCs w:val="20"/>
        </w:rPr>
        <w:t xml:space="preserve"> </w:t>
      </w:r>
      <w:r w:rsidR="00654AD3">
        <w:rPr>
          <w:rFonts w:ascii="Arial" w:hAnsi="Arial"/>
          <w:kern w:val="0"/>
          <w:sz w:val="20"/>
          <w:szCs w:val="20"/>
        </w:rPr>
        <w:t>Firstly, we have identified the relatively high level issues below.</w:t>
      </w:r>
    </w:p>
    <w:p w:rsidR="00654AD3" w:rsidRDefault="00654AD3" w:rsidP="00654AD3">
      <w:pPr>
        <w:pStyle w:val="a8"/>
        <w:widowControl/>
        <w:numPr>
          <w:ilvl w:val="0"/>
          <w:numId w:val="1"/>
        </w:numPr>
        <w:spacing w:after="120" w:line="240" w:lineRule="atLeast"/>
        <w:ind w:leftChars="0"/>
        <w:rPr>
          <w:rFonts w:ascii="Arial" w:hAnsi="Arial"/>
          <w:kern w:val="0"/>
          <w:sz w:val="20"/>
          <w:szCs w:val="20"/>
        </w:rPr>
      </w:pPr>
      <w:r>
        <w:rPr>
          <w:rFonts w:ascii="Arial" w:hAnsi="Arial" w:hint="eastAsia"/>
          <w:kern w:val="0"/>
          <w:sz w:val="20"/>
          <w:szCs w:val="20"/>
        </w:rPr>
        <w:t>W</w:t>
      </w:r>
      <w:r>
        <w:rPr>
          <w:rFonts w:ascii="Arial" w:hAnsi="Arial"/>
          <w:kern w:val="0"/>
          <w:sz w:val="20"/>
          <w:szCs w:val="20"/>
        </w:rPr>
        <w:t>hether both MN-initiated and SN-initiated CPC are applicable?</w:t>
      </w:r>
    </w:p>
    <w:p w:rsidR="001E77F7" w:rsidRDefault="00654AD3" w:rsidP="00EF1299">
      <w:pPr>
        <w:pStyle w:val="a8"/>
        <w:widowControl/>
        <w:numPr>
          <w:ilvl w:val="0"/>
          <w:numId w:val="1"/>
        </w:numPr>
        <w:spacing w:after="120" w:line="240" w:lineRule="atLeast"/>
        <w:ind w:leftChars="0"/>
        <w:rPr>
          <w:rFonts w:ascii="Arial" w:hAnsi="Arial"/>
          <w:kern w:val="0"/>
          <w:sz w:val="20"/>
          <w:szCs w:val="20"/>
        </w:rPr>
      </w:pPr>
      <w:r>
        <w:rPr>
          <w:rFonts w:ascii="Arial" w:hAnsi="Arial"/>
          <w:kern w:val="0"/>
          <w:sz w:val="20"/>
          <w:szCs w:val="20"/>
        </w:rPr>
        <w:t>How the e</w:t>
      </w:r>
      <w:r w:rsidRPr="001A62F5">
        <w:rPr>
          <w:rFonts w:ascii="Arial" w:hAnsi="Arial"/>
          <w:kern w:val="0"/>
          <w:sz w:val="20"/>
          <w:szCs w:val="20"/>
        </w:rPr>
        <w:t xml:space="preserve">xecution condition </w:t>
      </w:r>
      <w:r>
        <w:rPr>
          <w:rFonts w:ascii="Arial" w:hAnsi="Arial"/>
          <w:kern w:val="0"/>
          <w:sz w:val="20"/>
          <w:szCs w:val="20"/>
        </w:rPr>
        <w:t xml:space="preserve">is maintained (or configured) </w:t>
      </w:r>
      <w:r w:rsidRPr="001A62F5">
        <w:rPr>
          <w:rFonts w:ascii="Arial" w:hAnsi="Arial"/>
          <w:kern w:val="0"/>
          <w:sz w:val="20"/>
          <w:szCs w:val="20"/>
        </w:rPr>
        <w:t xml:space="preserve">for subsequent </w:t>
      </w:r>
      <w:r>
        <w:rPr>
          <w:rFonts w:ascii="Arial" w:hAnsi="Arial"/>
          <w:kern w:val="0"/>
          <w:sz w:val="20"/>
          <w:szCs w:val="20"/>
        </w:rPr>
        <w:t>CPC?</w:t>
      </w:r>
    </w:p>
    <w:p w:rsidR="00EF1299" w:rsidRPr="00EF1299" w:rsidRDefault="00EF1299" w:rsidP="00EF1299">
      <w:pPr>
        <w:pStyle w:val="a8"/>
        <w:widowControl/>
        <w:numPr>
          <w:ilvl w:val="0"/>
          <w:numId w:val="1"/>
        </w:numPr>
        <w:spacing w:after="120" w:line="240" w:lineRule="atLeast"/>
        <w:ind w:leftChars="0"/>
        <w:rPr>
          <w:rFonts w:ascii="Arial" w:hAnsi="Arial"/>
          <w:kern w:val="0"/>
          <w:sz w:val="20"/>
          <w:szCs w:val="20"/>
        </w:rPr>
      </w:pPr>
      <w:r>
        <w:rPr>
          <w:rFonts w:ascii="Arial" w:hAnsi="Arial"/>
          <w:kern w:val="0"/>
          <w:sz w:val="20"/>
          <w:szCs w:val="20"/>
        </w:rPr>
        <w:t>How the valid target SCG configuration is ensured for subsequent CPC?</w:t>
      </w:r>
    </w:p>
    <w:p w:rsidR="00654AD3" w:rsidRDefault="00654AD3" w:rsidP="00654AD3">
      <w:pPr>
        <w:widowControl/>
        <w:spacing w:after="120" w:line="240" w:lineRule="atLeast"/>
        <w:rPr>
          <w:rFonts w:ascii="Arial" w:hAnsi="Arial"/>
          <w:kern w:val="0"/>
          <w:sz w:val="20"/>
          <w:szCs w:val="20"/>
        </w:rPr>
      </w:pPr>
    </w:p>
    <w:p w:rsidR="00BA74E2" w:rsidRDefault="00654AD3" w:rsidP="00654AD3">
      <w:pPr>
        <w:widowControl/>
        <w:spacing w:after="120" w:line="240" w:lineRule="atLeast"/>
        <w:rPr>
          <w:rFonts w:ascii="Arial" w:hAnsi="Arial"/>
          <w:kern w:val="0"/>
          <w:sz w:val="20"/>
          <w:szCs w:val="20"/>
        </w:rPr>
      </w:pPr>
      <w:r>
        <w:rPr>
          <w:rFonts w:ascii="Arial" w:hAnsi="Arial"/>
          <w:kern w:val="0"/>
          <w:sz w:val="20"/>
          <w:szCs w:val="20"/>
        </w:rPr>
        <w:t xml:space="preserve">Considering that both </w:t>
      </w:r>
      <w:r w:rsidR="004457D2">
        <w:rPr>
          <w:rFonts w:ascii="Arial" w:hAnsi="Arial"/>
          <w:kern w:val="0"/>
          <w:sz w:val="20"/>
          <w:szCs w:val="20"/>
        </w:rPr>
        <w:t xml:space="preserve">the </w:t>
      </w:r>
      <w:r>
        <w:rPr>
          <w:rFonts w:ascii="Arial" w:hAnsi="Arial"/>
          <w:kern w:val="0"/>
          <w:sz w:val="20"/>
          <w:szCs w:val="20"/>
        </w:rPr>
        <w:t xml:space="preserve">MN and </w:t>
      </w:r>
      <w:r w:rsidR="004457D2">
        <w:rPr>
          <w:rFonts w:ascii="Arial" w:hAnsi="Arial"/>
          <w:kern w:val="0"/>
          <w:sz w:val="20"/>
          <w:szCs w:val="20"/>
        </w:rPr>
        <w:t xml:space="preserve">the </w:t>
      </w:r>
      <w:r>
        <w:rPr>
          <w:rFonts w:ascii="Arial" w:hAnsi="Arial"/>
          <w:kern w:val="0"/>
          <w:sz w:val="20"/>
          <w:szCs w:val="20"/>
        </w:rPr>
        <w:t xml:space="preserve">source SN can trigger the CPC, it can be expected that the selective SCG activation works on top of the MN-initiated CPC as well as the SN-initiated CPC. However, there is one fundamental difference between </w:t>
      </w:r>
      <w:r w:rsidR="004457D2">
        <w:rPr>
          <w:rFonts w:ascii="Arial" w:hAnsi="Arial"/>
          <w:kern w:val="0"/>
          <w:sz w:val="20"/>
          <w:szCs w:val="20"/>
        </w:rPr>
        <w:t>two cases</w:t>
      </w:r>
      <w:r>
        <w:rPr>
          <w:rFonts w:ascii="Arial" w:hAnsi="Arial"/>
          <w:kern w:val="0"/>
          <w:sz w:val="20"/>
          <w:szCs w:val="20"/>
        </w:rPr>
        <w:t>. In the MN-initiated CPC, the MN decides and configures the execution condition, while in the SN-initiated CPC the source SN decides the execution conditio</w:t>
      </w:r>
      <w:r w:rsidR="00BA74E2">
        <w:rPr>
          <w:rFonts w:ascii="Arial" w:hAnsi="Arial"/>
          <w:kern w:val="0"/>
          <w:sz w:val="20"/>
          <w:szCs w:val="20"/>
        </w:rPr>
        <w:t>n and configures it via the MN.</w:t>
      </w:r>
    </w:p>
    <w:p w:rsidR="00BE6061" w:rsidRDefault="00BA74E2" w:rsidP="00654AD3">
      <w:pPr>
        <w:widowControl/>
        <w:spacing w:after="120" w:line="240" w:lineRule="atLeast"/>
        <w:rPr>
          <w:rFonts w:ascii="Arial" w:hAnsi="Arial"/>
          <w:kern w:val="0"/>
          <w:sz w:val="20"/>
          <w:szCs w:val="20"/>
        </w:rPr>
      </w:pPr>
      <w:r>
        <w:rPr>
          <w:rFonts w:ascii="Arial" w:hAnsi="Arial"/>
          <w:kern w:val="0"/>
          <w:sz w:val="20"/>
          <w:szCs w:val="20"/>
        </w:rPr>
        <w:t>T</w:t>
      </w:r>
      <w:r w:rsidR="00654AD3">
        <w:rPr>
          <w:rFonts w:ascii="Arial" w:hAnsi="Arial"/>
          <w:kern w:val="0"/>
          <w:sz w:val="20"/>
          <w:szCs w:val="20"/>
        </w:rPr>
        <w:t>he subsequent CPC should be</w:t>
      </w:r>
      <w:r w:rsidR="001C2267">
        <w:rPr>
          <w:rFonts w:ascii="Arial" w:hAnsi="Arial"/>
          <w:kern w:val="0"/>
          <w:sz w:val="20"/>
          <w:szCs w:val="20"/>
        </w:rPr>
        <w:t xml:space="preserve"> evaluated</w:t>
      </w:r>
      <w:r w:rsidR="00654AD3">
        <w:rPr>
          <w:rFonts w:ascii="Arial" w:hAnsi="Arial"/>
          <w:kern w:val="0"/>
          <w:sz w:val="20"/>
          <w:szCs w:val="20"/>
        </w:rPr>
        <w:t xml:space="preserve"> </w:t>
      </w:r>
      <w:r w:rsidR="001C2267">
        <w:rPr>
          <w:rFonts w:ascii="Arial" w:hAnsi="Arial"/>
          <w:kern w:val="0"/>
          <w:sz w:val="20"/>
          <w:szCs w:val="20"/>
        </w:rPr>
        <w:t xml:space="preserve">with the </w:t>
      </w:r>
      <w:r w:rsidR="00654AD3">
        <w:rPr>
          <w:rFonts w:ascii="Arial" w:hAnsi="Arial"/>
          <w:kern w:val="0"/>
          <w:sz w:val="20"/>
          <w:szCs w:val="20"/>
        </w:rPr>
        <w:t xml:space="preserve">execution condition </w:t>
      </w:r>
      <w:r w:rsidR="008E6656">
        <w:rPr>
          <w:rFonts w:ascii="Arial" w:hAnsi="Arial"/>
          <w:kern w:val="0"/>
          <w:sz w:val="20"/>
          <w:szCs w:val="20"/>
        </w:rPr>
        <w:t xml:space="preserve">referring to the </w:t>
      </w:r>
      <w:r w:rsidR="00654AD3">
        <w:rPr>
          <w:rFonts w:ascii="Arial" w:hAnsi="Arial"/>
          <w:kern w:val="0"/>
          <w:sz w:val="20"/>
          <w:szCs w:val="20"/>
        </w:rPr>
        <w:t xml:space="preserve">new source </w:t>
      </w:r>
      <w:r w:rsidR="00654AD3">
        <w:rPr>
          <w:rFonts w:ascii="Arial" w:hAnsi="Arial" w:hint="eastAsia"/>
          <w:kern w:val="0"/>
          <w:sz w:val="20"/>
          <w:szCs w:val="20"/>
        </w:rPr>
        <w:t>PSCell</w:t>
      </w:r>
      <w:r w:rsidR="008E6656">
        <w:rPr>
          <w:rFonts w:ascii="Arial" w:hAnsi="Arial"/>
          <w:kern w:val="0"/>
          <w:sz w:val="20"/>
          <w:szCs w:val="20"/>
        </w:rPr>
        <w:t xml:space="preserve"> which is the</w:t>
      </w:r>
      <w:r w:rsidR="00654AD3">
        <w:rPr>
          <w:rFonts w:ascii="Arial" w:hAnsi="Arial"/>
          <w:kern w:val="0"/>
          <w:sz w:val="20"/>
          <w:szCs w:val="20"/>
        </w:rPr>
        <w:t xml:space="preserve"> target PSCell in the first/previous CPC. </w:t>
      </w:r>
      <w:r w:rsidR="001C2267">
        <w:rPr>
          <w:rFonts w:ascii="Arial" w:hAnsi="Arial"/>
          <w:kern w:val="0"/>
          <w:sz w:val="20"/>
          <w:szCs w:val="20"/>
        </w:rPr>
        <w:t xml:space="preserve">In the case of MN-initiated CPC, the execution condition </w:t>
      </w:r>
      <w:r w:rsidR="00C5109C">
        <w:rPr>
          <w:rFonts w:ascii="Arial" w:hAnsi="Arial"/>
          <w:kern w:val="0"/>
          <w:sz w:val="20"/>
          <w:szCs w:val="20"/>
        </w:rPr>
        <w:t>could</w:t>
      </w:r>
      <w:r w:rsidR="001C2267">
        <w:rPr>
          <w:rFonts w:ascii="Arial" w:hAnsi="Arial"/>
          <w:kern w:val="0"/>
          <w:sz w:val="20"/>
          <w:szCs w:val="20"/>
        </w:rPr>
        <w:t xml:space="preserve"> be evaluated </w:t>
      </w:r>
      <w:r w:rsidR="00ED5031">
        <w:rPr>
          <w:rFonts w:ascii="Arial" w:hAnsi="Arial"/>
          <w:kern w:val="0"/>
          <w:sz w:val="20"/>
          <w:szCs w:val="20"/>
        </w:rPr>
        <w:t xml:space="preserve">by reusing </w:t>
      </w:r>
      <w:r w:rsidR="0041517A">
        <w:rPr>
          <w:rFonts w:ascii="Arial" w:hAnsi="Arial"/>
          <w:kern w:val="0"/>
          <w:sz w:val="20"/>
          <w:szCs w:val="20"/>
        </w:rPr>
        <w:t xml:space="preserve">the same execution condition. </w:t>
      </w:r>
      <w:r w:rsidR="00BE6061">
        <w:rPr>
          <w:rFonts w:ascii="Arial" w:hAnsi="Arial"/>
          <w:kern w:val="0"/>
          <w:sz w:val="20"/>
          <w:szCs w:val="20"/>
        </w:rPr>
        <w:t>On the other hand, i</w:t>
      </w:r>
      <w:r w:rsidR="0041517A">
        <w:rPr>
          <w:rFonts w:ascii="Arial" w:hAnsi="Arial"/>
          <w:kern w:val="0"/>
          <w:sz w:val="20"/>
          <w:szCs w:val="20"/>
        </w:rPr>
        <w:t xml:space="preserve">n the case of SN-initiated CPC, the execution condition needs to be provided by the SN providing the new source PSCell. </w:t>
      </w:r>
      <w:r w:rsidR="0041517A">
        <w:rPr>
          <w:rFonts w:ascii="Arial" w:hAnsi="Arial" w:hint="eastAsia"/>
          <w:kern w:val="0"/>
          <w:sz w:val="20"/>
          <w:szCs w:val="20"/>
        </w:rPr>
        <w:t>T</w:t>
      </w:r>
      <w:r w:rsidR="0041517A">
        <w:rPr>
          <w:rFonts w:ascii="Arial" w:hAnsi="Arial"/>
          <w:kern w:val="0"/>
          <w:sz w:val="20"/>
          <w:szCs w:val="20"/>
        </w:rPr>
        <w:t>his might be achievable with some signal</w:t>
      </w:r>
      <w:r w:rsidR="00C5109C">
        <w:rPr>
          <w:rFonts w:ascii="Arial" w:hAnsi="Arial"/>
          <w:kern w:val="0"/>
          <w:sz w:val="20"/>
          <w:szCs w:val="20"/>
        </w:rPr>
        <w:t>ling enhancement</w:t>
      </w:r>
      <w:r w:rsidR="00766757">
        <w:rPr>
          <w:rFonts w:ascii="Arial" w:hAnsi="Arial"/>
          <w:kern w:val="0"/>
          <w:sz w:val="20"/>
          <w:szCs w:val="20"/>
        </w:rPr>
        <w:t>s, but a lot of signalling optimization and/or UE complexity might be necessary on top of already complicated signalling in SN-initiated CPC.</w:t>
      </w:r>
    </w:p>
    <w:p w:rsidR="00BA74E2" w:rsidRPr="00BE6061" w:rsidRDefault="005A4F45" w:rsidP="00654AD3">
      <w:pPr>
        <w:widowControl/>
        <w:spacing w:after="120" w:line="240" w:lineRule="atLeast"/>
        <w:rPr>
          <w:rFonts w:ascii="Arial" w:hAnsi="Arial"/>
          <w:kern w:val="0"/>
          <w:sz w:val="20"/>
          <w:szCs w:val="20"/>
        </w:rPr>
      </w:pPr>
      <w:r>
        <w:rPr>
          <w:rFonts w:ascii="Arial" w:hAnsi="Arial"/>
          <w:kern w:val="0"/>
          <w:sz w:val="20"/>
          <w:szCs w:val="20"/>
        </w:rPr>
        <w:t xml:space="preserve">Considering the available TUs and WI scope, it would be good to firstly focus on MN-initiated CPC for subsequent CPC, i.e. </w:t>
      </w:r>
      <w:r w:rsidRPr="005A4F45">
        <w:rPr>
          <w:rFonts w:ascii="Arial" w:hAnsi="Arial"/>
          <w:kern w:val="0"/>
          <w:sz w:val="20"/>
          <w:szCs w:val="20"/>
        </w:rPr>
        <w:t xml:space="preserve">subsequent CPC based on </w:t>
      </w:r>
      <w:r>
        <w:rPr>
          <w:rFonts w:ascii="Arial" w:hAnsi="Arial"/>
          <w:kern w:val="0"/>
          <w:sz w:val="20"/>
          <w:szCs w:val="20"/>
        </w:rPr>
        <w:t xml:space="preserve">previously configured </w:t>
      </w:r>
      <w:r w:rsidRPr="005A4F45">
        <w:rPr>
          <w:rFonts w:ascii="Arial" w:hAnsi="Arial"/>
          <w:kern w:val="0"/>
          <w:sz w:val="20"/>
          <w:szCs w:val="20"/>
        </w:rPr>
        <w:t>MN-initiated CPC</w:t>
      </w:r>
      <w:r w:rsidR="00766757">
        <w:rPr>
          <w:rFonts w:ascii="Arial" w:hAnsi="Arial"/>
          <w:kern w:val="0"/>
          <w:sz w:val="20"/>
          <w:szCs w:val="20"/>
        </w:rPr>
        <w:t>.</w:t>
      </w:r>
      <w:r w:rsidR="00BE6061">
        <w:rPr>
          <w:rFonts w:ascii="Arial" w:hAnsi="Arial"/>
          <w:kern w:val="0"/>
          <w:sz w:val="20"/>
          <w:szCs w:val="20"/>
        </w:rPr>
        <w:t xml:space="preserve"> Further discussions are shown in 2.2 below.</w:t>
      </w:r>
    </w:p>
    <w:p w:rsidR="00C531E0" w:rsidRDefault="00654AD3" w:rsidP="00654AD3">
      <w:pPr>
        <w:widowControl/>
        <w:spacing w:before="60" w:after="120" w:line="240" w:lineRule="atLeast"/>
        <w:rPr>
          <w:rFonts w:ascii="Arial" w:hAnsi="Arial"/>
          <w:b/>
          <w:kern w:val="0"/>
          <w:sz w:val="20"/>
          <w:szCs w:val="20"/>
        </w:rPr>
      </w:pPr>
      <w:r w:rsidRPr="002C6C08">
        <w:rPr>
          <w:rFonts w:ascii="Arial" w:hAnsi="Arial" w:hint="eastAsia"/>
          <w:b/>
          <w:kern w:val="0"/>
          <w:sz w:val="20"/>
          <w:szCs w:val="20"/>
        </w:rPr>
        <w:lastRenderedPageBreak/>
        <w:t xml:space="preserve">Proposal </w:t>
      </w:r>
      <w:r>
        <w:rPr>
          <w:rFonts w:ascii="Arial" w:hAnsi="Arial"/>
          <w:b/>
          <w:kern w:val="0"/>
          <w:sz w:val="20"/>
          <w:szCs w:val="20"/>
        </w:rPr>
        <w:t>1</w:t>
      </w:r>
      <w:r>
        <w:rPr>
          <w:rFonts w:ascii="Arial" w:hAnsi="Arial" w:hint="eastAsia"/>
          <w:b/>
          <w:kern w:val="0"/>
          <w:sz w:val="20"/>
          <w:szCs w:val="20"/>
        </w:rPr>
        <w:t>:</w:t>
      </w:r>
      <w:r>
        <w:rPr>
          <w:rFonts w:ascii="Arial" w:hAnsi="Arial"/>
          <w:b/>
          <w:kern w:val="0"/>
          <w:sz w:val="20"/>
          <w:szCs w:val="20"/>
        </w:rPr>
        <w:t xml:space="preserve"> RAN2 to </w:t>
      </w:r>
      <w:r w:rsidR="00C531E0">
        <w:rPr>
          <w:rFonts w:ascii="Arial" w:hAnsi="Arial"/>
          <w:b/>
          <w:kern w:val="0"/>
          <w:sz w:val="20"/>
          <w:szCs w:val="20"/>
        </w:rPr>
        <w:t>prioritize the work on subsequent CPC based on MN-initiated CPC.</w:t>
      </w:r>
    </w:p>
    <w:p w:rsidR="00EF1299" w:rsidRPr="00C531E0" w:rsidRDefault="00654AD3" w:rsidP="00C531E0">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552492">
        <w:rPr>
          <w:rFonts w:ascii="Arial" w:hAnsi="Arial"/>
          <w:b/>
          <w:kern w:val="0"/>
          <w:sz w:val="20"/>
          <w:szCs w:val="20"/>
        </w:rPr>
        <w:t>1a</w:t>
      </w:r>
      <w:r>
        <w:rPr>
          <w:rFonts w:ascii="Arial" w:hAnsi="Arial" w:hint="eastAsia"/>
          <w:b/>
          <w:kern w:val="0"/>
          <w:sz w:val="20"/>
          <w:szCs w:val="20"/>
        </w:rPr>
        <w:t>:</w:t>
      </w:r>
      <w:r>
        <w:rPr>
          <w:rFonts w:ascii="Arial" w:hAnsi="Arial"/>
          <w:b/>
          <w:kern w:val="0"/>
          <w:sz w:val="20"/>
          <w:szCs w:val="20"/>
        </w:rPr>
        <w:t xml:space="preserve"> </w:t>
      </w:r>
      <w:r w:rsidR="00C531E0">
        <w:rPr>
          <w:rFonts w:ascii="Arial" w:hAnsi="Arial"/>
          <w:b/>
          <w:kern w:val="0"/>
          <w:sz w:val="20"/>
          <w:szCs w:val="20"/>
        </w:rPr>
        <w:t xml:space="preserve">Once the subsequent CPC based on MN-initiated CPC is </w:t>
      </w:r>
      <w:r w:rsidR="006F2DD7">
        <w:rPr>
          <w:rFonts w:ascii="Arial" w:hAnsi="Arial"/>
          <w:b/>
          <w:kern w:val="0"/>
          <w:sz w:val="20"/>
          <w:szCs w:val="20"/>
        </w:rPr>
        <w:t>functionally stable</w:t>
      </w:r>
      <w:r w:rsidR="00C93195">
        <w:rPr>
          <w:rFonts w:ascii="Arial" w:hAnsi="Arial"/>
          <w:b/>
          <w:kern w:val="0"/>
          <w:sz w:val="20"/>
          <w:szCs w:val="20"/>
        </w:rPr>
        <w:t xml:space="preserve"> and</w:t>
      </w:r>
      <w:r w:rsidR="00C531E0">
        <w:rPr>
          <w:rFonts w:ascii="Arial" w:hAnsi="Arial"/>
          <w:b/>
          <w:kern w:val="0"/>
          <w:sz w:val="20"/>
          <w:szCs w:val="20"/>
        </w:rPr>
        <w:t xml:space="preserve"> if time allows, RAN2 to work on subsequent CPC based on SN-initiated CPC.</w:t>
      </w:r>
    </w:p>
    <w:p w:rsidR="00EF1299" w:rsidRDefault="00EF1299" w:rsidP="00654AD3">
      <w:pPr>
        <w:widowControl/>
        <w:spacing w:after="120" w:line="240" w:lineRule="atLeast"/>
        <w:rPr>
          <w:rFonts w:ascii="Arial" w:hAnsi="Arial"/>
          <w:kern w:val="0"/>
          <w:sz w:val="20"/>
          <w:szCs w:val="20"/>
        </w:rPr>
      </w:pPr>
    </w:p>
    <w:p w:rsidR="00BE6061" w:rsidRDefault="00150B25" w:rsidP="00654AD3">
      <w:pPr>
        <w:widowControl/>
        <w:spacing w:after="120" w:line="240" w:lineRule="atLeast"/>
        <w:rPr>
          <w:rFonts w:ascii="Arial" w:hAnsi="Arial"/>
          <w:kern w:val="0"/>
          <w:sz w:val="20"/>
          <w:szCs w:val="20"/>
        </w:rPr>
      </w:pPr>
      <w:r>
        <w:rPr>
          <w:rFonts w:ascii="Arial" w:hAnsi="Arial"/>
          <w:kern w:val="0"/>
          <w:sz w:val="20"/>
          <w:szCs w:val="20"/>
        </w:rPr>
        <w:t xml:space="preserve">One more </w:t>
      </w:r>
      <w:r w:rsidR="00BE6061">
        <w:rPr>
          <w:rFonts w:ascii="Arial" w:hAnsi="Arial"/>
          <w:kern w:val="0"/>
          <w:sz w:val="20"/>
          <w:szCs w:val="20"/>
        </w:rPr>
        <w:t>issue is how the valid target SCG configuration is ensured for the subsequent CPC. The simplest way is to apply full configuration for any of subsequent CPC. This works well, while a lot of signalling will be necessary depending on the numbe</w:t>
      </w:r>
      <w:r w:rsidR="00575779">
        <w:rPr>
          <w:rFonts w:ascii="Arial" w:hAnsi="Arial"/>
          <w:kern w:val="0"/>
          <w:sz w:val="20"/>
          <w:szCs w:val="20"/>
        </w:rPr>
        <w:t>r of candidate PSCell</w:t>
      </w:r>
      <w:r w:rsidR="00F751C4">
        <w:rPr>
          <w:rFonts w:ascii="Arial" w:hAnsi="Arial"/>
          <w:kern w:val="0"/>
          <w:sz w:val="20"/>
          <w:szCs w:val="20"/>
        </w:rPr>
        <w:t>s</w:t>
      </w:r>
      <w:r w:rsidR="00681A8A">
        <w:rPr>
          <w:rFonts w:ascii="Arial" w:hAnsi="Arial"/>
          <w:kern w:val="0"/>
          <w:sz w:val="20"/>
          <w:szCs w:val="20"/>
        </w:rPr>
        <w:t>. As concluded in the last meeting, there seems to be multiple companies having interests to support the delta configuration.</w:t>
      </w:r>
      <w:r w:rsidR="00CF4586">
        <w:rPr>
          <w:rFonts w:ascii="Arial" w:hAnsi="Arial"/>
          <w:kern w:val="0"/>
          <w:sz w:val="20"/>
          <w:szCs w:val="20"/>
        </w:rPr>
        <w:t xml:space="preserve"> It would be good to further discuss how to apply delta configuration.</w:t>
      </w:r>
      <w:r w:rsidR="00681A8A">
        <w:rPr>
          <w:rFonts w:ascii="Arial" w:hAnsi="Arial"/>
          <w:kern w:val="0"/>
          <w:sz w:val="20"/>
          <w:szCs w:val="20"/>
        </w:rPr>
        <w:t xml:space="preserve"> However, in any case, full configuration approach has to be supported. At this moment, it can be assumed as baseline.</w:t>
      </w:r>
    </w:p>
    <w:p w:rsidR="00BE6061" w:rsidRPr="00681A8A" w:rsidRDefault="00681A8A" w:rsidP="00681A8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w:t>
      </w:r>
      <w:r>
        <w:rPr>
          <w:rFonts w:ascii="Arial" w:hAnsi="Arial"/>
          <w:b/>
          <w:kern w:val="0"/>
          <w:sz w:val="20"/>
          <w:szCs w:val="20"/>
        </w:rPr>
        <w:t xml:space="preserve"> RAN2 to assume full configuration for subsequent CPC</w:t>
      </w:r>
      <w:r w:rsidR="003A1EE4">
        <w:rPr>
          <w:rFonts w:ascii="Arial" w:hAnsi="Arial"/>
          <w:b/>
          <w:kern w:val="0"/>
          <w:sz w:val="20"/>
          <w:szCs w:val="20"/>
        </w:rPr>
        <w:t xml:space="preserve"> as baseline and discuss possible solution for delta configuration</w:t>
      </w:r>
      <w:r>
        <w:rPr>
          <w:rFonts w:ascii="Arial" w:hAnsi="Arial"/>
          <w:b/>
          <w:kern w:val="0"/>
          <w:sz w:val="20"/>
          <w:szCs w:val="20"/>
        </w:rPr>
        <w:t>.</w:t>
      </w:r>
    </w:p>
    <w:p w:rsidR="00681A8A" w:rsidRDefault="00681A8A" w:rsidP="00654AD3">
      <w:pPr>
        <w:widowControl/>
        <w:spacing w:after="120" w:line="240" w:lineRule="atLeast"/>
        <w:rPr>
          <w:rFonts w:ascii="Arial" w:hAnsi="Arial"/>
          <w:kern w:val="0"/>
          <w:sz w:val="20"/>
          <w:szCs w:val="20"/>
        </w:rPr>
      </w:pPr>
    </w:p>
    <w:p w:rsidR="00BD264F" w:rsidRPr="002C6C08" w:rsidRDefault="00BD264F" w:rsidP="00BD264F">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 xml:space="preserve">Signalling/configuration </w:t>
      </w:r>
      <w:r w:rsidR="00A5694B">
        <w:rPr>
          <w:rFonts w:ascii="Arial" w:hAnsi="Arial"/>
          <w:kern w:val="0"/>
          <w:sz w:val="28"/>
          <w:szCs w:val="20"/>
        </w:rPr>
        <w:t>details</w:t>
      </w:r>
    </w:p>
    <w:p w:rsidR="00950B0E" w:rsidRDefault="00A5694B" w:rsidP="00DF75CF">
      <w:pPr>
        <w:widowControl/>
        <w:spacing w:before="60" w:after="120" w:line="240" w:lineRule="atLeast"/>
        <w:rPr>
          <w:rFonts w:ascii="Arial" w:hAnsi="Arial"/>
          <w:kern w:val="0"/>
          <w:sz w:val="20"/>
          <w:szCs w:val="20"/>
        </w:rPr>
      </w:pPr>
      <w:r>
        <w:rPr>
          <w:rFonts w:ascii="Arial" w:hAnsi="Arial" w:hint="eastAsia"/>
          <w:kern w:val="0"/>
          <w:sz w:val="20"/>
          <w:szCs w:val="20"/>
        </w:rPr>
        <w:t>A</w:t>
      </w:r>
      <w:r>
        <w:rPr>
          <w:rFonts w:ascii="Arial" w:hAnsi="Arial"/>
          <w:kern w:val="0"/>
          <w:sz w:val="20"/>
          <w:szCs w:val="20"/>
        </w:rPr>
        <w:t xml:space="preserve">s discussed in 2.1, we propose to firstly focus on the </w:t>
      </w:r>
      <w:r w:rsidRPr="00B116B9">
        <w:rPr>
          <w:rFonts w:ascii="Arial" w:hAnsi="Arial"/>
          <w:kern w:val="0"/>
          <w:sz w:val="20"/>
          <w:szCs w:val="20"/>
          <w:u w:val="single"/>
        </w:rPr>
        <w:t>subsequent CPC based on MN-initiated CPC</w:t>
      </w:r>
      <w:r>
        <w:rPr>
          <w:rFonts w:ascii="Arial" w:hAnsi="Arial"/>
          <w:kern w:val="0"/>
          <w:sz w:val="20"/>
          <w:szCs w:val="20"/>
        </w:rPr>
        <w:t xml:space="preserve">. One important aspect is how to configure or apply the execution conditions for the subsequent CPC. </w:t>
      </w:r>
      <w:r w:rsidR="00950B0E">
        <w:rPr>
          <w:rFonts w:ascii="Arial" w:hAnsi="Arial"/>
          <w:kern w:val="0"/>
          <w:sz w:val="20"/>
          <w:szCs w:val="20"/>
        </w:rPr>
        <w:t>The other aspect is how to apply delta configuration for the subsequent CPC.</w:t>
      </w:r>
    </w:p>
    <w:p w:rsidR="00B315EA" w:rsidRDefault="00DF75CF" w:rsidP="00DF75CF">
      <w:pPr>
        <w:widowControl/>
        <w:spacing w:before="60" w:after="120" w:line="240" w:lineRule="atLeast"/>
        <w:rPr>
          <w:rFonts w:ascii="Arial" w:hAnsi="Arial"/>
          <w:kern w:val="0"/>
          <w:sz w:val="20"/>
          <w:szCs w:val="20"/>
        </w:rPr>
      </w:pPr>
      <w:r>
        <w:rPr>
          <w:rFonts w:ascii="Arial" w:hAnsi="Arial"/>
          <w:kern w:val="0"/>
          <w:sz w:val="20"/>
          <w:szCs w:val="20"/>
        </w:rPr>
        <w:t>Regarding the execution condition, as the MN configures the execution condition for each of candidate PSCell(s) in MN-initiated CPC, the already configured execution cond</w:t>
      </w:r>
      <w:r w:rsidR="00576997">
        <w:rPr>
          <w:rFonts w:ascii="Arial" w:hAnsi="Arial"/>
          <w:kern w:val="0"/>
          <w:sz w:val="20"/>
          <w:szCs w:val="20"/>
        </w:rPr>
        <w:t>itions could</w:t>
      </w:r>
      <w:r>
        <w:rPr>
          <w:rFonts w:ascii="Arial" w:hAnsi="Arial"/>
          <w:kern w:val="0"/>
          <w:sz w:val="20"/>
          <w:szCs w:val="20"/>
        </w:rPr>
        <w:t xml:space="preserve"> be reused basically. One</w:t>
      </w:r>
      <w:r w:rsidR="00576997">
        <w:rPr>
          <w:rFonts w:ascii="Arial" w:hAnsi="Arial"/>
          <w:kern w:val="0"/>
          <w:sz w:val="20"/>
          <w:szCs w:val="20"/>
        </w:rPr>
        <w:t xml:space="preserve"> thing to clarify is that the source PSCell has been changed to the target PSCell upon CPC and thus the </w:t>
      </w:r>
      <w:r w:rsidR="003437DF">
        <w:rPr>
          <w:rFonts w:ascii="Arial" w:hAnsi="Arial"/>
          <w:kern w:val="0"/>
          <w:sz w:val="20"/>
          <w:szCs w:val="20"/>
        </w:rPr>
        <w:t>source PSCell to be used in evaluation should be replaced by new PSCell</w:t>
      </w:r>
      <w:r w:rsidR="00041BD2">
        <w:rPr>
          <w:rFonts w:ascii="Arial" w:hAnsi="Arial"/>
          <w:kern w:val="0"/>
          <w:sz w:val="20"/>
          <w:szCs w:val="20"/>
        </w:rPr>
        <w:t xml:space="preserve"> if the configured execution condition is reused</w:t>
      </w:r>
      <w:r w:rsidR="003437DF">
        <w:rPr>
          <w:rFonts w:ascii="Arial" w:hAnsi="Arial"/>
          <w:kern w:val="0"/>
          <w:sz w:val="20"/>
          <w:szCs w:val="20"/>
        </w:rPr>
        <w:t>.</w:t>
      </w:r>
    </w:p>
    <w:p w:rsidR="00A5694B" w:rsidRPr="00041BD2" w:rsidRDefault="00B315EA" w:rsidP="00041BD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w:t>
      </w:r>
      <w:r>
        <w:rPr>
          <w:rFonts w:ascii="Arial" w:hAnsi="Arial"/>
          <w:b/>
          <w:kern w:val="0"/>
          <w:sz w:val="20"/>
          <w:szCs w:val="20"/>
        </w:rPr>
        <w:t xml:space="preserve"> RAN2 to </w:t>
      </w:r>
      <w:r w:rsidR="002F09D3">
        <w:rPr>
          <w:rFonts w:ascii="Arial" w:hAnsi="Arial"/>
          <w:b/>
          <w:kern w:val="0"/>
          <w:sz w:val="20"/>
          <w:szCs w:val="20"/>
        </w:rPr>
        <w:t xml:space="preserve">assume the configured execution condition can be reused for subsequent CPC </w:t>
      </w:r>
      <w:r w:rsidR="00337216">
        <w:rPr>
          <w:rFonts w:ascii="Arial" w:hAnsi="Arial"/>
          <w:b/>
          <w:kern w:val="0"/>
          <w:sz w:val="20"/>
          <w:szCs w:val="20"/>
        </w:rPr>
        <w:t xml:space="preserve">based on MN-initiated CPC </w:t>
      </w:r>
      <w:r w:rsidR="002F09D3">
        <w:rPr>
          <w:rFonts w:ascii="Arial" w:hAnsi="Arial"/>
          <w:b/>
          <w:kern w:val="0"/>
          <w:sz w:val="20"/>
          <w:szCs w:val="20"/>
        </w:rPr>
        <w:t>and details should be clarified further.</w:t>
      </w:r>
    </w:p>
    <w:p w:rsidR="00B315EA" w:rsidRDefault="00B315EA" w:rsidP="003E16F6">
      <w:pPr>
        <w:widowControl/>
        <w:spacing w:after="120" w:line="240" w:lineRule="atLeast"/>
        <w:rPr>
          <w:rFonts w:ascii="Arial" w:hAnsi="Arial"/>
          <w:kern w:val="0"/>
          <w:sz w:val="20"/>
          <w:szCs w:val="20"/>
        </w:rPr>
      </w:pPr>
    </w:p>
    <w:p w:rsidR="00CF70E5" w:rsidRDefault="00DF75CF" w:rsidP="003E16F6">
      <w:pPr>
        <w:widowControl/>
        <w:spacing w:after="120" w:line="240" w:lineRule="atLeast"/>
        <w:rPr>
          <w:rFonts w:ascii="Arial" w:hAnsi="Arial"/>
          <w:kern w:val="0"/>
          <w:sz w:val="20"/>
          <w:szCs w:val="20"/>
        </w:rPr>
      </w:pPr>
      <w:r>
        <w:rPr>
          <w:rFonts w:ascii="Arial" w:hAnsi="Arial" w:hint="eastAsia"/>
          <w:kern w:val="0"/>
          <w:sz w:val="20"/>
          <w:szCs w:val="20"/>
        </w:rPr>
        <w:t>R</w:t>
      </w:r>
      <w:r>
        <w:rPr>
          <w:rFonts w:ascii="Arial" w:hAnsi="Arial"/>
          <w:kern w:val="0"/>
          <w:sz w:val="20"/>
          <w:szCs w:val="20"/>
        </w:rPr>
        <w:t xml:space="preserve">egarding the delta configuration, </w:t>
      </w:r>
      <w:r w:rsidR="006D3B98">
        <w:rPr>
          <w:rFonts w:ascii="Arial" w:hAnsi="Arial"/>
          <w:kern w:val="0"/>
          <w:sz w:val="20"/>
          <w:szCs w:val="20"/>
        </w:rPr>
        <w:t xml:space="preserve">there was the proposal to use a reference configuration [2]. </w:t>
      </w:r>
      <w:r w:rsidR="00E45DB5">
        <w:rPr>
          <w:rFonts w:ascii="Arial" w:hAnsi="Arial"/>
          <w:kern w:val="0"/>
          <w:sz w:val="20"/>
          <w:szCs w:val="20"/>
        </w:rPr>
        <w:t xml:space="preserve">We understand that a certain SCG configuration (or configuration set) might be used as the reference for all candidate SCG configurations. With this way, delta configuration might be applicable in the subsequent CPC. </w:t>
      </w:r>
      <w:r w:rsidR="00041BD2">
        <w:rPr>
          <w:rFonts w:ascii="Arial" w:hAnsi="Arial"/>
          <w:kern w:val="0"/>
          <w:sz w:val="20"/>
          <w:szCs w:val="20"/>
        </w:rPr>
        <w:t>T</w:t>
      </w:r>
      <w:r w:rsidR="00E45DB5">
        <w:rPr>
          <w:rFonts w:ascii="Arial" w:hAnsi="Arial"/>
          <w:kern w:val="0"/>
          <w:sz w:val="20"/>
          <w:szCs w:val="20"/>
        </w:rPr>
        <w:t>his would require further detail discussions, e.g. who will assign or prepare such reference configuration and how the reference configuration is shared in advance to all the candidate SN(s).</w:t>
      </w:r>
      <w:r w:rsidR="00041BD2">
        <w:rPr>
          <w:rFonts w:ascii="Arial" w:hAnsi="Arial"/>
          <w:kern w:val="0"/>
          <w:sz w:val="20"/>
          <w:szCs w:val="20"/>
        </w:rPr>
        <w:t xml:space="preserve"> However, this would depend on the expected signalling flows. It would be better to decide the signalling flows for subsequent CPC and then discuss further details</w:t>
      </w:r>
      <w:r w:rsidR="00337216">
        <w:rPr>
          <w:rFonts w:ascii="Arial" w:hAnsi="Arial"/>
          <w:kern w:val="0"/>
          <w:sz w:val="20"/>
          <w:szCs w:val="20"/>
        </w:rPr>
        <w:t xml:space="preserve"> on </w:t>
      </w:r>
      <w:r w:rsidR="00041BD2">
        <w:rPr>
          <w:rFonts w:ascii="Arial" w:hAnsi="Arial"/>
          <w:kern w:val="0"/>
          <w:sz w:val="20"/>
          <w:szCs w:val="20"/>
        </w:rPr>
        <w:t>delta configuration.</w:t>
      </w:r>
    </w:p>
    <w:p w:rsidR="00DF75CF" w:rsidRPr="00B315EA" w:rsidRDefault="00B315EA" w:rsidP="00B315EA">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w:t>
      </w:r>
      <w:r>
        <w:rPr>
          <w:rFonts w:ascii="Arial" w:hAnsi="Arial"/>
          <w:b/>
          <w:kern w:val="0"/>
          <w:sz w:val="20"/>
          <w:szCs w:val="20"/>
        </w:rPr>
        <w:t xml:space="preserve"> RAN2 to </w:t>
      </w:r>
      <w:r w:rsidR="00041BD2">
        <w:rPr>
          <w:rFonts w:ascii="Arial" w:hAnsi="Arial"/>
          <w:b/>
          <w:kern w:val="0"/>
          <w:sz w:val="20"/>
          <w:szCs w:val="20"/>
        </w:rPr>
        <w:t xml:space="preserve">discuss delta configuration after signalling flows are </w:t>
      </w:r>
      <w:r w:rsidR="00F10B17">
        <w:rPr>
          <w:rFonts w:ascii="Arial" w:hAnsi="Arial"/>
          <w:b/>
          <w:kern w:val="0"/>
          <w:sz w:val="20"/>
          <w:szCs w:val="20"/>
        </w:rPr>
        <w:t xml:space="preserve">assumed or </w:t>
      </w:r>
      <w:r w:rsidR="00041BD2">
        <w:rPr>
          <w:rFonts w:ascii="Arial" w:hAnsi="Arial"/>
          <w:b/>
          <w:kern w:val="0"/>
          <w:sz w:val="20"/>
          <w:szCs w:val="20"/>
        </w:rPr>
        <w:t>decided.</w:t>
      </w:r>
    </w:p>
    <w:p w:rsidR="00DF75CF" w:rsidRPr="002C6C08" w:rsidRDefault="00DF75CF"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246C50">
        <w:rPr>
          <w:rFonts w:ascii="Arial" w:eastAsia="Arial Unicode MS" w:hAnsi="Arial"/>
          <w:kern w:val="0"/>
          <w:sz w:val="20"/>
          <w:szCs w:val="20"/>
        </w:rPr>
        <w:t>overview of selective SCG activation and possible signalling</w:t>
      </w:r>
      <w:r w:rsidRPr="002C6C08">
        <w:rPr>
          <w:rFonts w:ascii="Arial" w:eastAsia="Arial Unicode MS" w:hAnsi="Arial" w:hint="eastAsia"/>
          <w:kern w:val="0"/>
          <w:sz w:val="20"/>
          <w:szCs w:val="20"/>
        </w:rPr>
        <w:t>.</w:t>
      </w:r>
      <w:r w:rsidR="004C5188">
        <w:rPr>
          <w:rFonts w:ascii="Arial" w:eastAsia="Arial Unicode MS" w:hAnsi="Arial"/>
          <w:kern w:val="0"/>
          <w:sz w:val="20"/>
          <w:szCs w:val="20"/>
        </w:rPr>
        <w:t xml:space="preserve"> We made the following proposals.</w:t>
      </w:r>
    </w:p>
    <w:p w:rsidR="003E16F6" w:rsidRDefault="003E16F6" w:rsidP="003E16F6">
      <w:pPr>
        <w:widowControl/>
        <w:spacing w:line="240" w:lineRule="atLeast"/>
        <w:rPr>
          <w:rFonts w:ascii="Arial" w:eastAsia="Arial Unicode MS" w:hAnsi="Arial"/>
          <w:kern w:val="0"/>
          <w:sz w:val="20"/>
          <w:szCs w:val="20"/>
        </w:rPr>
      </w:pPr>
    </w:p>
    <w:p w:rsidR="00144AC3" w:rsidRDefault="00144AC3" w:rsidP="00144AC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w:t>
      </w:r>
      <w:r>
        <w:rPr>
          <w:rFonts w:ascii="Arial" w:hAnsi="Arial"/>
          <w:b/>
          <w:kern w:val="0"/>
          <w:sz w:val="20"/>
          <w:szCs w:val="20"/>
        </w:rPr>
        <w:t xml:space="preserve"> RAN2 to prioritize the work on subsequent CPC based on MN-initiated CPC.</w:t>
      </w:r>
    </w:p>
    <w:p w:rsidR="00144AC3" w:rsidRPr="00B116B9" w:rsidRDefault="00144AC3" w:rsidP="00B116B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1a</w:t>
      </w:r>
      <w:r>
        <w:rPr>
          <w:rFonts w:ascii="Arial" w:hAnsi="Arial" w:hint="eastAsia"/>
          <w:b/>
          <w:kern w:val="0"/>
          <w:sz w:val="20"/>
          <w:szCs w:val="20"/>
        </w:rPr>
        <w:t>:</w:t>
      </w:r>
      <w:r>
        <w:rPr>
          <w:rFonts w:ascii="Arial" w:hAnsi="Arial"/>
          <w:b/>
          <w:kern w:val="0"/>
          <w:sz w:val="20"/>
          <w:szCs w:val="20"/>
        </w:rPr>
        <w:t xml:space="preserve"> Once the subsequent CPC based on MN-initiated CPC is functionally stable and if time allows, RAN2 to work on subsequent CPC based on SN-initiated CPC.</w:t>
      </w:r>
    </w:p>
    <w:p w:rsidR="00144AC3" w:rsidRPr="00B116B9" w:rsidRDefault="00144AC3" w:rsidP="00B116B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w:t>
      </w:r>
      <w:r>
        <w:rPr>
          <w:rFonts w:ascii="Arial" w:hAnsi="Arial"/>
          <w:b/>
          <w:kern w:val="0"/>
          <w:sz w:val="20"/>
          <w:szCs w:val="20"/>
        </w:rPr>
        <w:t xml:space="preserve"> RAN2 to assume full configuration for subsequent CPC as baseline and discuss possible solution for delta configuration.</w:t>
      </w:r>
    </w:p>
    <w:p w:rsidR="00144AC3" w:rsidRPr="00B116B9" w:rsidRDefault="00144AC3" w:rsidP="00B116B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w:t>
      </w:r>
      <w:r>
        <w:rPr>
          <w:rFonts w:ascii="Arial" w:hAnsi="Arial"/>
          <w:b/>
          <w:kern w:val="0"/>
          <w:sz w:val="20"/>
          <w:szCs w:val="20"/>
        </w:rPr>
        <w:t xml:space="preserve"> RAN2 to assume the configured execution condition can be reused for subsequent CPC based on MN-initiated CPC and details should be clarified further.</w:t>
      </w:r>
    </w:p>
    <w:p w:rsidR="00144AC3" w:rsidRPr="00B315EA" w:rsidRDefault="00144AC3" w:rsidP="00144AC3">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w:t>
      </w:r>
      <w:r>
        <w:rPr>
          <w:rFonts w:ascii="Arial" w:hAnsi="Arial"/>
          <w:b/>
          <w:kern w:val="0"/>
          <w:sz w:val="20"/>
          <w:szCs w:val="20"/>
        </w:rPr>
        <w:t xml:space="preserve"> RAN2 to discuss delta configuration after signalling flows are assumed or decided.</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rsidR="00155307" w:rsidRPr="002C6C08" w:rsidRDefault="00155307" w:rsidP="00155307">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Pr="00E37CDB">
        <w:rPr>
          <w:rFonts w:ascii="Arial" w:eastAsia="Arial Unicode MS" w:hAnsi="Arial"/>
          <w:kern w:val="0"/>
          <w:sz w:val="20"/>
          <w:szCs w:val="20"/>
        </w:rPr>
        <w:t>RP-221799</w:t>
      </w:r>
      <w:r>
        <w:rPr>
          <w:rFonts w:ascii="Arial" w:eastAsia="Arial Unicode MS" w:hAnsi="Arial"/>
          <w:kern w:val="0"/>
          <w:sz w:val="20"/>
          <w:szCs w:val="20"/>
        </w:rPr>
        <w:t>, “</w:t>
      </w:r>
      <w:r w:rsidRPr="00E37CDB">
        <w:rPr>
          <w:rFonts w:ascii="Arial" w:eastAsia="Arial Unicode MS" w:hAnsi="Arial"/>
          <w:kern w:val="0"/>
          <w:sz w:val="20"/>
          <w:szCs w:val="20"/>
        </w:rPr>
        <w:t>Further NR Mobility Enhancements</w:t>
      </w:r>
      <w:r>
        <w:rPr>
          <w:rFonts w:ascii="Arial" w:eastAsia="Arial Unicode MS" w:hAnsi="Arial"/>
          <w:kern w:val="0"/>
          <w:sz w:val="20"/>
          <w:szCs w:val="20"/>
        </w:rPr>
        <w:t>” (WID)</w:t>
      </w:r>
    </w:p>
    <w:p w:rsidR="003E16F6" w:rsidRDefault="00962799"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 RAN2#119e Chairman notes</w:t>
      </w:r>
    </w:p>
    <w:p w:rsidR="00962799" w:rsidRPr="002C6C08" w:rsidRDefault="00962799" w:rsidP="003E16F6">
      <w:pPr>
        <w:widowControl/>
        <w:spacing w:line="240" w:lineRule="atLeast"/>
        <w:rPr>
          <w:rFonts w:ascii="Arial" w:eastAsia="Arial Unicode MS" w:hAnsi="Arial"/>
          <w:kern w:val="0"/>
          <w:sz w:val="20"/>
          <w:szCs w:val="20"/>
        </w:rPr>
      </w:pPr>
    </w:p>
    <w:p w:rsidR="003E16F6" w:rsidRPr="002C6C08" w:rsidRDefault="003E16F6" w:rsidP="003E16F6">
      <w:pPr>
        <w:widowControl/>
        <w:adjustRightInd w:val="0"/>
        <w:spacing w:line="240" w:lineRule="atLeast"/>
        <w:jc w:val="left"/>
        <w:rPr>
          <w:rFonts w:ascii="Arial" w:eastAsia="Arial Unicode MS" w:hAnsi="Arial"/>
          <w:kern w:val="0"/>
          <w:sz w:val="20"/>
          <w:szCs w:val="20"/>
        </w:rPr>
      </w:pPr>
    </w:p>
    <w:sectPr w:rsidR="003E16F6" w:rsidRPr="002C6C08"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D9B" w:rsidRDefault="00433D9B" w:rsidP="005F4664">
      <w:r>
        <w:separator/>
      </w:r>
    </w:p>
  </w:endnote>
  <w:endnote w:type="continuationSeparator" w:id="0">
    <w:p w:rsidR="00433D9B" w:rsidRDefault="00433D9B"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D9B" w:rsidRDefault="00433D9B" w:rsidP="005F4664">
      <w:r>
        <w:separator/>
      </w:r>
    </w:p>
  </w:footnote>
  <w:footnote w:type="continuationSeparator" w:id="0">
    <w:p w:rsidR="00433D9B" w:rsidRDefault="00433D9B"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15:restartNumberingAfterBreak="0">
    <w:nsid w:val="51C403C4"/>
    <w:multiLevelType w:val="hybridMultilevel"/>
    <w:tmpl w:val="1A302994"/>
    <w:lvl w:ilvl="0" w:tplc="41C0B278">
      <w:start w:val="2"/>
      <w:numFmt w:val="decimal"/>
      <w:lvlText w:val="%1."/>
      <w:lvlJc w:val="left"/>
      <w:pPr>
        <w:ind w:left="720" w:hanging="360"/>
      </w:pPr>
      <w:rPr>
        <w:rFonts w:hint="eastAsia"/>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 w15:restartNumberingAfterBreak="0">
    <w:nsid w:val="6B9A358A"/>
    <w:multiLevelType w:val="hybridMultilevel"/>
    <w:tmpl w:val="5B2C3E7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436B"/>
    <w:rsid w:val="0001147E"/>
    <w:rsid w:val="00034259"/>
    <w:rsid w:val="00041BD2"/>
    <w:rsid w:val="00094FBB"/>
    <w:rsid w:val="000956CC"/>
    <w:rsid w:val="000A024E"/>
    <w:rsid w:val="000B1ECD"/>
    <w:rsid w:val="001310F8"/>
    <w:rsid w:val="00144AC3"/>
    <w:rsid w:val="001504D8"/>
    <w:rsid w:val="00150B25"/>
    <w:rsid w:val="00155307"/>
    <w:rsid w:val="001C1521"/>
    <w:rsid w:val="001C2267"/>
    <w:rsid w:val="001D6661"/>
    <w:rsid w:val="001E77F7"/>
    <w:rsid w:val="00236472"/>
    <w:rsid w:val="00246C50"/>
    <w:rsid w:val="00247885"/>
    <w:rsid w:val="00251D17"/>
    <w:rsid w:val="0028555E"/>
    <w:rsid w:val="00297E8B"/>
    <w:rsid w:val="002A7B1A"/>
    <w:rsid w:val="002E4305"/>
    <w:rsid w:val="002F09D3"/>
    <w:rsid w:val="00337216"/>
    <w:rsid w:val="003437DF"/>
    <w:rsid w:val="00391CBE"/>
    <w:rsid w:val="003A1EE4"/>
    <w:rsid w:val="003C391C"/>
    <w:rsid w:val="003E16F6"/>
    <w:rsid w:val="0041517A"/>
    <w:rsid w:val="00433D9B"/>
    <w:rsid w:val="004457D2"/>
    <w:rsid w:val="00460C65"/>
    <w:rsid w:val="004623F9"/>
    <w:rsid w:val="00485574"/>
    <w:rsid w:val="004B0B31"/>
    <w:rsid w:val="004C3DFF"/>
    <w:rsid w:val="004C5188"/>
    <w:rsid w:val="004C55F8"/>
    <w:rsid w:val="004D0B78"/>
    <w:rsid w:val="004F0F43"/>
    <w:rsid w:val="004F6BB1"/>
    <w:rsid w:val="0050025E"/>
    <w:rsid w:val="005076B1"/>
    <w:rsid w:val="00537425"/>
    <w:rsid w:val="00552492"/>
    <w:rsid w:val="00575779"/>
    <w:rsid w:val="00576997"/>
    <w:rsid w:val="005A4F45"/>
    <w:rsid w:val="005D4370"/>
    <w:rsid w:val="005F4664"/>
    <w:rsid w:val="006010B7"/>
    <w:rsid w:val="00603972"/>
    <w:rsid w:val="00654AD3"/>
    <w:rsid w:val="006736E7"/>
    <w:rsid w:val="00681A8A"/>
    <w:rsid w:val="00697F60"/>
    <w:rsid w:val="006B2E48"/>
    <w:rsid w:val="006C02EB"/>
    <w:rsid w:val="006C2608"/>
    <w:rsid w:val="006D3B98"/>
    <w:rsid w:val="006E6345"/>
    <w:rsid w:val="006F1C23"/>
    <w:rsid w:val="006F2DD7"/>
    <w:rsid w:val="00717247"/>
    <w:rsid w:val="007312D8"/>
    <w:rsid w:val="00766757"/>
    <w:rsid w:val="007C0139"/>
    <w:rsid w:val="007C02CE"/>
    <w:rsid w:val="00860D50"/>
    <w:rsid w:val="008873D5"/>
    <w:rsid w:val="008A53A6"/>
    <w:rsid w:val="008D7675"/>
    <w:rsid w:val="008E6656"/>
    <w:rsid w:val="00907818"/>
    <w:rsid w:val="00950B0E"/>
    <w:rsid w:val="00962799"/>
    <w:rsid w:val="009668AF"/>
    <w:rsid w:val="009A406E"/>
    <w:rsid w:val="009B3B44"/>
    <w:rsid w:val="009C1D35"/>
    <w:rsid w:val="009C715E"/>
    <w:rsid w:val="00A13A4F"/>
    <w:rsid w:val="00A35743"/>
    <w:rsid w:val="00A41F23"/>
    <w:rsid w:val="00A50FE9"/>
    <w:rsid w:val="00A5694B"/>
    <w:rsid w:val="00A77709"/>
    <w:rsid w:val="00AA2B16"/>
    <w:rsid w:val="00B116B9"/>
    <w:rsid w:val="00B26B13"/>
    <w:rsid w:val="00B315EA"/>
    <w:rsid w:val="00B37EB3"/>
    <w:rsid w:val="00B40703"/>
    <w:rsid w:val="00B45CAD"/>
    <w:rsid w:val="00B609F2"/>
    <w:rsid w:val="00B9710E"/>
    <w:rsid w:val="00BA74E2"/>
    <w:rsid w:val="00BD264F"/>
    <w:rsid w:val="00BE6061"/>
    <w:rsid w:val="00BF06BC"/>
    <w:rsid w:val="00C0670F"/>
    <w:rsid w:val="00C205AD"/>
    <w:rsid w:val="00C5109C"/>
    <w:rsid w:val="00C531E0"/>
    <w:rsid w:val="00C93195"/>
    <w:rsid w:val="00CD5A88"/>
    <w:rsid w:val="00CF4586"/>
    <w:rsid w:val="00CF70E5"/>
    <w:rsid w:val="00D723C1"/>
    <w:rsid w:val="00D80CE3"/>
    <w:rsid w:val="00DF75CF"/>
    <w:rsid w:val="00DF78D3"/>
    <w:rsid w:val="00E32A9C"/>
    <w:rsid w:val="00E37687"/>
    <w:rsid w:val="00E45DB5"/>
    <w:rsid w:val="00E864B6"/>
    <w:rsid w:val="00E96018"/>
    <w:rsid w:val="00EA2016"/>
    <w:rsid w:val="00EA44AC"/>
    <w:rsid w:val="00EB0333"/>
    <w:rsid w:val="00ED5031"/>
    <w:rsid w:val="00EF1299"/>
    <w:rsid w:val="00EF1D5E"/>
    <w:rsid w:val="00F10B17"/>
    <w:rsid w:val="00F1418D"/>
    <w:rsid w:val="00F16567"/>
    <w:rsid w:val="00F751C4"/>
    <w:rsid w:val="00F83DC7"/>
    <w:rsid w:val="00FA3970"/>
    <w:rsid w:val="00FA7B35"/>
    <w:rsid w:val="00FC1FF4"/>
    <w:rsid w:val="00FE291A"/>
    <w:rsid w:val="00FE3216"/>
    <w:rsid w:val="00FE7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styleId="a8">
    <w:name w:val="List Paragraph"/>
    <w:basedOn w:val="a"/>
    <w:uiPriority w:val="34"/>
    <w:qFormat/>
    <w:rsid w:val="00654AD3"/>
    <w:pPr>
      <w:ind w:leftChars="400" w:left="840"/>
    </w:pPr>
  </w:style>
  <w:style w:type="table" w:styleId="a9">
    <w:name w:val="Table Grid"/>
    <w:basedOn w:val="a1"/>
    <w:uiPriority w:val="39"/>
    <w:rsid w:val="00654A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47885"/>
    <w:pPr>
      <w:widowControl/>
      <w:numPr>
        <w:numId w:val="4"/>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3</Pages>
  <Words>967</Words>
  <Characters>5513</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111</cp:revision>
  <dcterms:created xsi:type="dcterms:W3CDTF">2019-04-30T06:30:00Z</dcterms:created>
  <dcterms:modified xsi:type="dcterms:W3CDTF">2022-09-30T07:03:00Z</dcterms:modified>
</cp:coreProperties>
</file>